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8342" w14:textId="5CD97CF5" w:rsidR="00CF3F38" w:rsidRPr="000B710B" w:rsidRDefault="00730406" w:rsidP="32425C34">
      <w:pPr>
        <w:spacing w:line="240" w:lineRule="auto"/>
        <w:jc w:val="center"/>
        <w:rPr>
          <w:rFonts w:ascii="Verdana Pro" w:eastAsia="Verdana Pro" w:hAnsi="Verdana Pro" w:cs="Verdana Pro"/>
          <w:b/>
          <w:bCs/>
          <w:u w:val="single"/>
        </w:rPr>
      </w:pPr>
      <w:r w:rsidRPr="32425C34">
        <w:rPr>
          <w:rFonts w:ascii="Verdana Pro" w:eastAsia="Verdana Pro" w:hAnsi="Verdana Pro" w:cs="Verdana Pro"/>
          <w:b/>
          <w:bCs/>
          <w:u w:val="single"/>
        </w:rPr>
        <w:t>DTE’s LSP Terms and Conditions</w:t>
      </w:r>
      <w:r w:rsidR="00A64413" w:rsidRPr="32425C34">
        <w:rPr>
          <w:rFonts w:ascii="Verdana Pro" w:eastAsia="Verdana Pro" w:hAnsi="Verdana Pro" w:cs="Verdana Pro"/>
          <w:b/>
          <w:bCs/>
          <w:u w:val="single"/>
        </w:rPr>
        <w:t xml:space="preserve"> 20</w:t>
      </w:r>
      <w:r w:rsidR="009A7128" w:rsidRPr="32425C34">
        <w:rPr>
          <w:rFonts w:ascii="Verdana Pro" w:eastAsia="Verdana Pro" w:hAnsi="Verdana Pro" w:cs="Verdana Pro"/>
          <w:b/>
          <w:bCs/>
          <w:u w:val="single"/>
        </w:rPr>
        <w:t>2</w:t>
      </w:r>
      <w:r w:rsidR="00EA6C79">
        <w:rPr>
          <w:rFonts w:ascii="Verdana Pro" w:eastAsia="Verdana Pro" w:hAnsi="Verdana Pro" w:cs="Verdana Pro"/>
          <w:b/>
          <w:bCs/>
          <w:u w:val="single"/>
        </w:rPr>
        <w:t>5</w:t>
      </w:r>
      <w:r w:rsidR="00A64413" w:rsidRPr="32425C34">
        <w:rPr>
          <w:rFonts w:ascii="Verdana Pro" w:eastAsia="Verdana Pro" w:hAnsi="Verdana Pro" w:cs="Verdana Pro"/>
          <w:b/>
          <w:bCs/>
          <w:u w:val="single"/>
        </w:rPr>
        <w:t>- 202</w:t>
      </w:r>
      <w:r w:rsidR="00EA6C79">
        <w:rPr>
          <w:rFonts w:ascii="Verdana Pro" w:eastAsia="Verdana Pro" w:hAnsi="Verdana Pro" w:cs="Verdana Pro"/>
          <w:b/>
          <w:bCs/>
          <w:u w:val="single"/>
        </w:rPr>
        <w:t>6</w:t>
      </w:r>
    </w:p>
    <w:p w14:paraId="6664D9AF" w14:textId="485CDE91" w:rsidR="32425C34" w:rsidRDefault="32425C34" w:rsidP="32425C34">
      <w:pPr>
        <w:spacing w:line="240" w:lineRule="auto"/>
        <w:jc w:val="center"/>
        <w:rPr>
          <w:rFonts w:ascii="Verdana Pro" w:eastAsia="Verdana Pro" w:hAnsi="Verdana Pro" w:cs="Verdana Pro"/>
          <w:u w:val="single"/>
        </w:rPr>
      </w:pPr>
    </w:p>
    <w:p w14:paraId="6C3BCD47" w14:textId="578E6615" w:rsidR="003E11DC" w:rsidRDefault="003E11DC" w:rsidP="32425C34">
      <w:pPr>
        <w:spacing w:after="0" w:line="240" w:lineRule="auto"/>
        <w:rPr>
          <w:rFonts w:ascii="Verdana Pro" w:eastAsia="Verdana Pro" w:hAnsi="Verdana Pro" w:cs="Verdana Pro"/>
        </w:rPr>
      </w:pPr>
      <w:r w:rsidRPr="32425C34">
        <w:rPr>
          <w:rFonts w:ascii="Verdana Pro" w:eastAsia="Verdana Pro" w:hAnsi="Verdana Pro" w:cs="Verdana Pro"/>
        </w:rPr>
        <w:t xml:space="preserve">LSP is an affordable payment plan </w:t>
      </w:r>
      <w:proofErr w:type="gramStart"/>
      <w:r w:rsidRPr="32425C34">
        <w:rPr>
          <w:rFonts w:ascii="Verdana Pro" w:eastAsia="Verdana Pro" w:hAnsi="Verdana Pro" w:cs="Verdana Pro"/>
        </w:rPr>
        <w:t>for income</w:t>
      </w:r>
      <w:proofErr w:type="gramEnd"/>
      <w:r w:rsidRPr="32425C34">
        <w:rPr>
          <w:rFonts w:ascii="Verdana Pro" w:eastAsia="Verdana Pro" w:hAnsi="Verdana Pro" w:cs="Verdana Pro"/>
        </w:rPr>
        <w:t xml:space="preserve"> qualified households. LSP allows customers to make affordable monthly payments based on their consumption history, with a portion of their current energy bill being paid with energy assistance funds.</w:t>
      </w:r>
      <w:r w:rsidR="0021009C">
        <w:rPr>
          <w:rFonts w:ascii="Verdana Pro" w:eastAsia="Verdana Pro" w:hAnsi="Verdana Pro" w:cs="Verdana Pro"/>
        </w:rPr>
        <w:t xml:space="preserve"> The program was modified in October 202</w:t>
      </w:r>
      <w:r w:rsidR="00EA6C79">
        <w:rPr>
          <w:rFonts w:ascii="Verdana Pro" w:eastAsia="Verdana Pro" w:hAnsi="Verdana Pro" w:cs="Verdana Pro"/>
        </w:rPr>
        <w:t>5</w:t>
      </w:r>
      <w:r w:rsidR="0021009C">
        <w:rPr>
          <w:rFonts w:ascii="Verdana Pro" w:eastAsia="Verdana Pro" w:hAnsi="Verdana Pro" w:cs="Verdana Pro"/>
        </w:rPr>
        <w:t>.</w:t>
      </w:r>
    </w:p>
    <w:p w14:paraId="08230194" w14:textId="77777777" w:rsidR="003E11DC" w:rsidRDefault="003E11DC" w:rsidP="32425C34">
      <w:pPr>
        <w:spacing w:after="0" w:line="240" w:lineRule="auto"/>
        <w:rPr>
          <w:rFonts w:ascii="Verdana Pro" w:eastAsia="Verdana Pro" w:hAnsi="Verdana Pro" w:cs="Verdana Pro"/>
          <w:b/>
          <w:bCs/>
        </w:rPr>
      </w:pPr>
    </w:p>
    <w:p w14:paraId="56EF7794" w14:textId="074C1300" w:rsidR="32425C34" w:rsidRDefault="32425C34" w:rsidP="32425C34">
      <w:pPr>
        <w:spacing w:after="0" w:line="240" w:lineRule="auto"/>
        <w:rPr>
          <w:rFonts w:ascii="Verdana Pro" w:eastAsia="Verdana Pro" w:hAnsi="Verdana Pro" w:cs="Verdana Pro"/>
          <w:b/>
          <w:bCs/>
        </w:rPr>
      </w:pPr>
    </w:p>
    <w:p w14:paraId="623314B5" w14:textId="40EB5D06" w:rsidR="00896D62" w:rsidRDefault="00896D62" w:rsidP="32425C34">
      <w:pPr>
        <w:spacing w:after="0" w:line="240" w:lineRule="auto"/>
        <w:rPr>
          <w:rFonts w:ascii="Verdana Pro" w:eastAsia="Verdana Pro" w:hAnsi="Verdana Pro" w:cs="Verdana Pro"/>
          <w:b/>
          <w:bCs/>
        </w:rPr>
      </w:pPr>
      <w:r w:rsidRPr="32425C34">
        <w:rPr>
          <w:rFonts w:ascii="Verdana Pro" w:eastAsia="Verdana Pro" w:hAnsi="Verdana Pro" w:cs="Verdana Pro"/>
          <w:b/>
          <w:bCs/>
        </w:rPr>
        <w:t xml:space="preserve">Federal and State Eligibility Criteria </w:t>
      </w:r>
    </w:p>
    <w:p w14:paraId="15331496" w14:textId="77777777" w:rsidR="00B53265" w:rsidRPr="00896D62" w:rsidRDefault="00B53265" w:rsidP="32425C34">
      <w:pPr>
        <w:spacing w:after="0" w:line="240" w:lineRule="auto"/>
        <w:rPr>
          <w:rFonts w:ascii="Verdana Pro" w:eastAsia="Verdana Pro" w:hAnsi="Verdana Pro" w:cs="Verdana Pro"/>
        </w:rPr>
      </w:pPr>
    </w:p>
    <w:p w14:paraId="2474F6C5" w14:textId="50437291" w:rsidR="00896D62" w:rsidRDefault="00896D62" w:rsidP="32425C34">
      <w:pPr>
        <w:pStyle w:val="ListParagraph"/>
        <w:numPr>
          <w:ilvl w:val="0"/>
          <w:numId w:val="13"/>
        </w:numPr>
        <w:spacing w:line="240" w:lineRule="auto"/>
        <w:rPr>
          <w:rFonts w:ascii="Verdana Pro" w:eastAsia="Verdana Pro" w:hAnsi="Verdana Pro" w:cs="Verdana Pro"/>
        </w:rPr>
      </w:pPr>
      <w:r w:rsidRPr="32425C34">
        <w:rPr>
          <w:rFonts w:ascii="Verdana Pro" w:eastAsia="Verdana Pro" w:hAnsi="Verdana Pro" w:cs="Verdana Pro"/>
        </w:rPr>
        <w:t xml:space="preserve">A customer’s income must be equal to or less than </w:t>
      </w:r>
      <w:proofErr w:type="gramStart"/>
      <w:r w:rsidRPr="32425C34">
        <w:rPr>
          <w:rFonts w:ascii="Verdana Pro" w:eastAsia="Verdana Pro" w:hAnsi="Verdana Pro" w:cs="Verdana Pro"/>
        </w:rPr>
        <w:t xml:space="preserve">the </w:t>
      </w:r>
      <w:r w:rsidR="00EA6C79">
        <w:rPr>
          <w:rFonts w:ascii="Verdana Pro" w:eastAsia="Verdana Pro" w:hAnsi="Verdana Pro" w:cs="Verdana Pro"/>
        </w:rPr>
        <w:t>60</w:t>
      </w:r>
      <w:proofErr w:type="gramEnd"/>
      <w:r w:rsidRPr="32425C34">
        <w:rPr>
          <w:rFonts w:ascii="Verdana Pro" w:eastAsia="Verdana Pro" w:hAnsi="Verdana Pro" w:cs="Verdana Pro"/>
        </w:rPr>
        <w:t xml:space="preserve">% </w:t>
      </w:r>
      <w:r w:rsidR="00EA6C79">
        <w:rPr>
          <w:rFonts w:ascii="Verdana Pro" w:eastAsia="Verdana Pro" w:hAnsi="Verdana Pro" w:cs="Verdana Pro"/>
        </w:rPr>
        <w:t xml:space="preserve">State Median Income </w:t>
      </w:r>
      <w:r w:rsidRPr="32425C34">
        <w:rPr>
          <w:rFonts w:ascii="Verdana Pro" w:eastAsia="Verdana Pro" w:hAnsi="Verdana Pro" w:cs="Verdana Pro"/>
        </w:rPr>
        <w:t>(</w:t>
      </w:r>
      <w:r w:rsidR="00EA6C79">
        <w:rPr>
          <w:rFonts w:ascii="Verdana Pro" w:eastAsia="Verdana Pro" w:hAnsi="Verdana Pro" w:cs="Verdana Pro"/>
        </w:rPr>
        <w:t>SMI</w:t>
      </w:r>
      <w:r w:rsidRPr="32425C34">
        <w:rPr>
          <w:rFonts w:ascii="Verdana Pro" w:eastAsia="Verdana Pro" w:hAnsi="Verdana Pro" w:cs="Verdana Pro"/>
        </w:rPr>
        <w:t xml:space="preserve">). </w:t>
      </w:r>
    </w:p>
    <w:p w14:paraId="1451C597" w14:textId="49D9BFA5" w:rsidR="003E11DC" w:rsidRDefault="003E11DC" w:rsidP="32425C34">
      <w:pPr>
        <w:pStyle w:val="ListParagraph"/>
        <w:numPr>
          <w:ilvl w:val="0"/>
          <w:numId w:val="13"/>
        </w:numPr>
        <w:spacing w:line="240" w:lineRule="auto"/>
        <w:rPr>
          <w:rFonts w:ascii="Verdana Pro" w:eastAsia="Verdana Pro" w:hAnsi="Verdana Pro" w:cs="Verdana Pro"/>
        </w:rPr>
      </w:pPr>
      <w:r w:rsidRPr="32425C34">
        <w:rPr>
          <w:rFonts w:ascii="Verdana Pro" w:eastAsia="Verdana Pro" w:hAnsi="Verdana Pro" w:cs="Verdana Pro"/>
        </w:rPr>
        <w:t>Customer must NOT have unaddressed theft/fraud on the account. If theft or fraud is identified while on the program, the participant may be removed.</w:t>
      </w:r>
    </w:p>
    <w:p w14:paraId="74615D8B" w14:textId="5ABBBA9B" w:rsidR="00896D62" w:rsidRDefault="00896D62" w:rsidP="32425C34">
      <w:pPr>
        <w:spacing w:line="240" w:lineRule="auto"/>
        <w:rPr>
          <w:rFonts w:ascii="Verdana Pro" w:eastAsia="Verdana Pro" w:hAnsi="Verdana Pro" w:cs="Verdana Pro"/>
          <w:b/>
          <w:bCs/>
        </w:rPr>
      </w:pPr>
      <w:r w:rsidRPr="32425C34">
        <w:rPr>
          <w:rFonts w:ascii="Verdana Pro" w:eastAsia="Verdana Pro" w:hAnsi="Verdana Pro" w:cs="Verdana Pro"/>
          <w:b/>
          <w:bCs/>
        </w:rPr>
        <w:t>Program Benefits</w:t>
      </w:r>
    </w:p>
    <w:p w14:paraId="7CAF4AFB" w14:textId="02F01366" w:rsidR="003E11DC" w:rsidRPr="003E11DC" w:rsidRDefault="0021009C" w:rsidP="32425C34">
      <w:pPr>
        <w:pStyle w:val="ListParagraph"/>
        <w:numPr>
          <w:ilvl w:val="0"/>
          <w:numId w:val="14"/>
        </w:numPr>
        <w:spacing w:line="240" w:lineRule="auto"/>
        <w:rPr>
          <w:rFonts w:ascii="Verdana Pro" w:eastAsia="Verdana Pro" w:hAnsi="Verdana Pro" w:cs="Verdana Pro"/>
        </w:rPr>
      </w:pPr>
      <w:r>
        <w:rPr>
          <w:rFonts w:ascii="Verdana Pro" w:eastAsia="Verdana Pro" w:hAnsi="Verdana Pro" w:cs="Verdana Pro"/>
        </w:rPr>
        <w:t xml:space="preserve">The customer has </w:t>
      </w:r>
      <w:r w:rsidR="003E11DC" w:rsidRPr="32425C34">
        <w:rPr>
          <w:rFonts w:ascii="Verdana Pro" w:eastAsia="Verdana Pro" w:hAnsi="Verdana Pro" w:cs="Verdana Pro"/>
        </w:rPr>
        <w:t>24 months of affordable monthly payments.</w:t>
      </w:r>
    </w:p>
    <w:p w14:paraId="2D0722A9" w14:textId="10088AB4" w:rsidR="520AD8EA" w:rsidRDefault="520AD8EA" w:rsidP="32425C34">
      <w:pPr>
        <w:pStyle w:val="ListParagraph"/>
        <w:numPr>
          <w:ilvl w:val="0"/>
          <w:numId w:val="14"/>
        </w:numPr>
        <w:spacing w:line="240" w:lineRule="auto"/>
        <w:rPr>
          <w:rFonts w:ascii="Verdana Pro" w:eastAsia="Verdana Pro" w:hAnsi="Verdana Pro" w:cs="Verdana Pro"/>
        </w:rPr>
      </w:pPr>
      <w:r w:rsidRPr="32425C34">
        <w:rPr>
          <w:rFonts w:ascii="Verdana Pro" w:eastAsia="Verdana Pro" w:hAnsi="Verdana Pro" w:cs="Verdana Pro"/>
        </w:rPr>
        <w:t>The customer is protected from shutoff while enrolled in the plan.</w:t>
      </w:r>
    </w:p>
    <w:p w14:paraId="6BDC6BC1" w14:textId="5DE7591B" w:rsidR="003E11DC" w:rsidRDefault="0021009C" w:rsidP="32425C34">
      <w:pPr>
        <w:pStyle w:val="ListParagraph"/>
        <w:numPr>
          <w:ilvl w:val="0"/>
          <w:numId w:val="14"/>
        </w:numPr>
        <w:spacing w:line="240" w:lineRule="auto"/>
        <w:rPr>
          <w:rFonts w:ascii="Verdana Pro" w:eastAsia="Verdana Pro" w:hAnsi="Verdana Pro" w:cs="Verdana Pro"/>
        </w:rPr>
      </w:pPr>
      <w:r>
        <w:rPr>
          <w:rFonts w:ascii="Verdana Pro" w:eastAsia="Verdana Pro" w:hAnsi="Verdana Pro" w:cs="Verdana Pro"/>
        </w:rPr>
        <w:t>The pa</w:t>
      </w:r>
      <w:r w:rsidR="003E11DC" w:rsidRPr="32425C34">
        <w:rPr>
          <w:rFonts w:ascii="Verdana Pro" w:eastAsia="Verdana Pro" w:hAnsi="Verdana Pro" w:cs="Verdana Pro"/>
        </w:rPr>
        <w:t>st due balance</w:t>
      </w:r>
      <w:r>
        <w:rPr>
          <w:rFonts w:ascii="Verdana Pro" w:eastAsia="Verdana Pro" w:hAnsi="Verdana Pro" w:cs="Verdana Pro"/>
        </w:rPr>
        <w:t xml:space="preserve"> on the account</w:t>
      </w:r>
      <w:r w:rsidR="003E11DC" w:rsidRPr="32425C34">
        <w:rPr>
          <w:rFonts w:ascii="Verdana Pro" w:eastAsia="Verdana Pro" w:hAnsi="Verdana Pro" w:cs="Verdana Pro"/>
        </w:rPr>
        <w:t xml:space="preserve"> is frozen at the time of enrollment</w:t>
      </w:r>
      <w:r>
        <w:rPr>
          <w:rFonts w:ascii="Verdana Pro" w:eastAsia="Verdana Pro" w:hAnsi="Verdana Pro" w:cs="Verdana Pro"/>
        </w:rPr>
        <w:t xml:space="preserve"> in LSP</w:t>
      </w:r>
      <w:r w:rsidR="003E11DC" w:rsidRPr="32425C34">
        <w:rPr>
          <w:rFonts w:ascii="Verdana Pro" w:eastAsia="Verdana Pro" w:hAnsi="Verdana Pro" w:cs="Verdana Pro"/>
        </w:rPr>
        <w:t xml:space="preserve"> and will be paid off over time, up to $3,000, </w:t>
      </w:r>
      <w:proofErr w:type="gramStart"/>
      <w:r w:rsidR="003E11DC" w:rsidRPr="32425C34">
        <w:rPr>
          <w:rFonts w:ascii="Verdana Pro" w:eastAsia="Verdana Pro" w:hAnsi="Verdana Pro" w:cs="Verdana Pro"/>
        </w:rPr>
        <w:t>as long as</w:t>
      </w:r>
      <w:proofErr w:type="gramEnd"/>
      <w:r w:rsidR="003E11DC" w:rsidRPr="32425C34">
        <w:rPr>
          <w:rFonts w:ascii="Verdana Pro" w:eastAsia="Verdana Pro" w:hAnsi="Verdana Pro" w:cs="Verdana Pro"/>
        </w:rPr>
        <w:t xml:space="preserve"> the customer is actively enrolled in LSP.</w:t>
      </w:r>
    </w:p>
    <w:p w14:paraId="0F524FC8" w14:textId="1537A277" w:rsidR="0021009C" w:rsidRPr="003E11DC" w:rsidRDefault="005E6AA4" w:rsidP="0021009C">
      <w:pPr>
        <w:pStyle w:val="ListParagraph"/>
        <w:numPr>
          <w:ilvl w:val="1"/>
          <w:numId w:val="14"/>
        </w:numPr>
        <w:spacing w:line="240" w:lineRule="auto"/>
        <w:rPr>
          <w:rFonts w:ascii="Verdana Pro" w:eastAsia="Verdana Pro" w:hAnsi="Verdana Pro" w:cs="Verdana Pro"/>
        </w:rPr>
      </w:pPr>
      <w:r>
        <w:rPr>
          <w:rFonts w:ascii="Verdana Pro" w:eastAsia="Verdana Pro" w:hAnsi="Verdana Pro" w:cs="Verdana Pro"/>
        </w:rPr>
        <w:t>Payments up</w:t>
      </w:r>
      <w:r w:rsidR="0021009C">
        <w:rPr>
          <w:rFonts w:ascii="Verdana Pro" w:eastAsia="Verdana Pro" w:hAnsi="Verdana Pro" w:cs="Verdana Pro"/>
        </w:rPr>
        <w:t xml:space="preserve"> to $600</w:t>
      </w:r>
      <w:r>
        <w:rPr>
          <w:rFonts w:ascii="Verdana Pro" w:eastAsia="Verdana Pro" w:hAnsi="Verdana Pro" w:cs="Verdana Pro"/>
        </w:rPr>
        <w:t>, as needed, are made 30 days after enrollment. After 1 year in the program, an additional payment up to $600 is made. If necessary, a final payment of up to $1,800 will be paid at completion of the program at 24 months.</w:t>
      </w:r>
      <w:r w:rsidR="0021009C">
        <w:rPr>
          <w:rFonts w:ascii="Verdana Pro" w:eastAsia="Verdana Pro" w:hAnsi="Verdana Pro" w:cs="Verdana Pro"/>
        </w:rPr>
        <w:t xml:space="preserve"> </w:t>
      </w:r>
    </w:p>
    <w:p w14:paraId="4C620C38" w14:textId="2B098BFA" w:rsidR="4F48CCB3" w:rsidRDefault="3B328B23" w:rsidP="32425C34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Verdana Pro" w:eastAsia="Verdana Pro" w:hAnsi="Verdana Pro" w:cs="Verdana Pro"/>
        </w:rPr>
      </w:pPr>
      <w:r w:rsidRPr="32425C34">
        <w:rPr>
          <w:rFonts w:ascii="Verdana Pro" w:eastAsia="Verdana Pro" w:hAnsi="Verdana Pro" w:cs="Verdana Pro"/>
        </w:rPr>
        <w:t xml:space="preserve">Every six months, </w:t>
      </w:r>
      <w:r w:rsidR="005E6AA4">
        <w:rPr>
          <w:rFonts w:ascii="Verdana Pro" w:eastAsia="Verdana Pro" w:hAnsi="Verdana Pro" w:cs="Verdana Pro"/>
        </w:rPr>
        <w:t>DTE</w:t>
      </w:r>
      <w:r w:rsidRPr="32425C34">
        <w:rPr>
          <w:rFonts w:ascii="Verdana Pro" w:eastAsia="Verdana Pro" w:hAnsi="Verdana Pro" w:cs="Verdana Pro"/>
        </w:rPr>
        <w:t xml:space="preserve"> review</w:t>
      </w:r>
      <w:r w:rsidR="005E6AA4">
        <w:rPr>
          <w:rFonts w:ascii="Verdana Pro" w:eastAsia="Verdana Pro" w:hAnsi="Verdana Pro" w:cs="Verdana Pro"/>
        </w:rPr>
        <w:t>s</w:t>
      </w:r>
      <w:r w:rsidRPr="32425C34">
        <w:rPr>
          <w:rFonts w:ascii="Verdana Pro" w:eastAsia="Verdana Pro" w:hAnsi="Verdana Pro" w:cs="Verdana Pro"/>
        </w:rPr>
        <w:t xml:space="preserve"> </w:t>
      </w:r>
      <w:r w:rsidR="005E6AA4">
        <w:rPr>
          <w:rFonts w:ascii="Verdana Pro" w:eastAsia="Verdana Pro" w:hAnsi="Verdana Pro" w:cs="Verdana Pro"/>
        </w:rPr>
        <w:t>the customer’s</w:t>
      </w:r>
      <w:r w:rsidRPr="32425C34">
        <w:rPr>
          <w:rFonts w:ascii="Verdana Pro" w:eastAsia="Verdana Pro" w:hAnsi="Verdana Pro" w:cs="Verdana Pro"/>
        </w:rPr>
        <w:t xml:space="preserve"> energy usage to make sure </w:t>
      </w:r>
      <w:r w:rsidR="005E6AA4">
        <w:rPr>
          <w:rFonts w:ascii="Verdana Pro" w:eastAsia="Verdana Pro" w:hAnsi="Verdana Pro" w:cs="Verdana Pro"/>
        </w:rPr>
        <w:t>thei</w:t>
      </w:r>
      <w:r w:rsidRPr="32425C34">
        <w:rPr>
          <w:rFonts w:ascii="Verdana Pro" w:eastAsia="Verdana Pro" w:hAnsi="Verdana Pro" w:cs="Verdana Pro"/>
        </w:rPr>
        <w:t xml:space="preserve">r monthly payment is still accurate, which may cause </w:t>
      </w:r>
      <w:r w:rsidR="005E6AA4">
        <w:rPr>
          <w:rFonts w:ascii="Verdana Pro" w:eastAsia="Verdana Pro" w:hAnsi="Verdana Pro" w:cs="Verdana Pro"/>
        </w:rPr>
        <w:t>the</w:t>
      </w:r>
      <w:r w:rsidRPr="32425C34">
        <w:rPr>
          <w:rFonts w:ascii="Verdana Pro" w:eastAsia="Verdana Pro" w:hAnsi="Verdana Pro" w:cs="Verdana Pro"/>
        </w:rPr>
        <w:t xml:space="preserve"> monthly payment to fluctuate. This helps us to ensure that </w:t>
      </w:r>
      <w:r w:rsidR="005E6AA4">
        <w:rPr>
          <w:rFonts w:ascii="Verdana Pro" w:eastAsia="Verdana Pro" w:hAnsi="Verdana Pro" w:cs="Verdana Pro"/>
        </w:rPr>
        <w:t xml:space="preserve">the customer is </w:t>
      </w:r>
      <w:r w:rsidR="010D2911" w:rsidRPr="32425C34">
        <w:rPr>
          <w:rFonts w:ascii="Verdana Pro" w:eastAsia="Verdana Pro" w:hAnsi="Verdana Pro" w:cs="Verdana Pro"/>
        </w:rPr>
        <w:t xml:space="preserve">appropriately </w:t>
      </w:r>
      <w:r w:rsidRPr="32425C34">
        <w:rPr>
          <w:rFonts w:ascii="Verdana Pro" w:eastAsia="Verdana Pro" w:hAnsi="Verdana Pro" w:cs="Verdana Pro"/>
        </w:rPr>
        <w:t xml:space="preserve">paying down </w:t>
      </w:r>
      <w:r w:rsidR="005E6AA4">
        <w:rPr>
          <w:rFonts w:ascii="Verdana Pro" w:eastAsia="Verdana Pro" w:hAnsi="Verdana Pro" w:cs="Verdana Pro"/>
        </w:rPr>
        <w:t xml:space="preserve">their </w:t>
      </w:r>
      <w:r w:rsidRPr="32425C34">
        <w:rPr>
          <w:rFonts w:ascii="Verdana Pro" w:eastAsia="Verdana Pro" w:hAnsi="Verdana Pro" w:cs="Verdana Pro"/>
        </w:rPr>
        <w:t xml:space="preserve">account balance and makes </w:t>
      </w:r>
      <w:r w:rsidR="005E6AA4">
        <w:rPr>
          <w:rFonts w:ascii="Verdana Pro" w:eastAsia="Verdana Pro" w:hAnsi="Verdana Pro" w:cs="Verdana Pro"/>
        </w:rPr>
        <w:t xml:space="preserve">the </w:t>
      </w:r>
      <w:r w:rsidRPr="32425C34">
        <w:rPr>
          <w:rFonts w:ascii="Verdana Pro" w:eastAsia="Verdana Pro" w:hAnsi="Verdana Pro" w:cs="Verdana Pro"/>
        </w:rPr>
        <w:t xml:space="preserve">end of year settlement as low as possible. </w:t>
      </w:r>
    </w:p>
    <w:p w14:paraId="1A0424EC" w14:textId="4ECC7C40" w:rsidR="0021009C" w:rsidRPr="009441A9" w:rsidRDefault="3B328B23" w:rsidP="32425C34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Verdana Pro" w:eastAsia="Verdana Pro" w:hAnsi="Verdana Pro" w:cs="Verdana Pro"/>
        </w:rPr>
      </w:pPr>
      <w:r w:rsidRPr="32425C34">
        <w:rPr>
          <w:rFonts w:ascii="Verdana Pro" w:eastAsia="Verdana Pro" w:hAnsi="Verdana Pro" w:cs="Verdana Pro"/>
        </w:rPr>
        <w:t xml:space="preserve">During </w:t>
      </w:r>
      <w:r w:rsidR="005E6AA4">
        <w:rPr>
          <w:rFonts w:ascii="Verdana Pro" w:eastAsia="Verdana Pro" w:hAnsi="Verdana Pro" w:cs="Verdana Pro"/>
        </w:rPr>
        <w:t>the</w:t>
      </w:r>
      <w:r w:rsidRPr="32425C34">
        <w:rPr>
          <w:rFonts w:ascii="Verdana Pro" w:eastAsia="Verdana Pro" w:hAnsi="Verdana Pro" w:cs="Verdana Pro"/>
        </w:rPr>
        <w:t xml:space="preserve"> 12-month review, if </w:t>
      </w:r>
      <w:r w:rsidR="005E6AA4">
        <w:rPr>
          <w:rFonts w:ascii="Verdana Pro" w:eastAsia="Verdana Pro" w:hAnsi="Verdana Pro" w:cs="Verdana Pro"/>
        </w:rPr>
        <w:t xml:space="preserve">the customer </w:t>
      </w:r>
      <w:r w:rsidRPr="32425C34">
        <w:rPr>
          <w:rFonts w:ascii="Verdana Pro" w:eastAsia="Verdana Pro" w:hAnsi="Verdana Pro" w:cs="Verdana Pro"/>
        </w:rPr>
        <w:t xml:space="preserve">used less energy than we estimated, </w:t>
      </w:r>
      <w:r w:rsidR="005E6AA4">
        <w:rPr>
          <w:rFonts w:ascii="Verdana Pro" w:eastAsia="Verdana Pro" w:hAnsi="Verdana Pro" w:cs="Verdana Pro"/>
        </w:rPr>
        <w:t>they</w:t>
      </w:r>
      <w:r w:rsidRPr="32425C34">
        <w:rPr>
          <w:rFonts w:ascii="Verdana Pro" w:eastAsia="Verdana Pro" w:hAnsi="Verdana Pro" w:cs="Verdana Pro"/>
        </w:rPr>
        <w:t xml:space="preserve"> will receive a credit on </w:t>
      </w:r>
      <w:r w:rsidR="005E6AA4">
        <w:rPr>
          <w:rFonts w:ascii="Verdana Pro" w:eastAsia="Verdana Pro" w:hAnsi="Verdana Pro" w:cs="Verdana Pro"/>
        </w:rPr>
        <w:t xml:space="preserve">their </w:t>
      </w:r>
      <w:r w:rsidRPr="32425C34">
        <w:rPr>
          <w:rFonts w:ascii="Verdana Pro" w:eastAsia="Verdana Pro" w:hAnsi="Verdana Pro" w:cs="Verdana Pro"/>
        </w:rPr>
        <w:t xml:space="preserve">next bill. If </w:t>
      </w:r>
      <w:r w:rsidR="005E6AA4">
        <w:rPr>
          <w:rFonts w:ascii="Verdana Pro" w:eastAsia="Verdana Pro" w:hAnsi="Verdana Pro" w:cs="Verdana Pro"/>
        </w:rPr>
        <w:t>they</w:t>
      </w:r>
      <w:r w:rsidRPr="32425C34">
        <w:rPr>
          <w:rFonts w:ascii="Verdana Pro" w:eastAsia="Verdana Pro" w:hAnsi="Verdana Pro" w:cs="Verdana Pro"/>
        </w:rPr>
        <w:t xml:space="preserve"> used more energy than we estimated, </w:t>
      </w:r>
      <w:r w:rsidR="005E6AA4">
        <w:rPr>
          <w:rFonts w:ascii="Verdana Pro" w:eastAsia="Verdana Pro" w:hAnsi="Verdana Pro" w:cs="Verdana Pro"/>
        </w:rPr>
        <w:t>they</w:t>
      </w:r>
      <w:r w:rsidRPr="32425C34">
        <w:rPr>
          <w:rFonts w:ascii="Verdana Pro" w:eastAsia="Verdana Pro" w:hAnsi="Verdana Pro" w:cs="Verdana Pro"/>
        </w:rPr>
        <w:t xml:space="preserve"> will be encouraged to reduce </w:t>
      </w:r>
      <w:r w:rsidR="005E6AA4">
        <w:rPr>
          <w:rFonts w:ascii="Verdana Pro" w:eastAsia="Verdana Pro" w:hAnsi="Verdana Pro" w:cs="Verdana Pro"/>
        </w:rPr>
        <w:t xml:space="preserve">their </w:t>
      </w:r>
      <w:r w:rsidRPr="32425C34">
        <w:rPr>
          <w:rFonts w:ascii="Verdana Pro" w:eastAsia="Verdana Pro" w:hAnsi="Verdana Pro" w:cs="Verdana Pro"/>
        </w:rPr>
        <w:t xml:space="preserve">energy usage. We will cover the extra energy </w:t>
      </w:r>
      <w:r w:rsidR="005E6AA4">
        <w:rPr>
          <w:rFonts w:ascii="Verdana Pro" w:eastAsia="Verdana Pro" w:hAnsi="Verdana Pro" w:cs="Verdana Pro"/>
        </w:rPr>
        <w:t>they</w:t>
      </w:r>
      <w:r w:rsidRPr="32425C34">
        <w:rPr>
          <w:rFonts w:ascii="Verdana Pro" w:eastAsia="Verdana Pro" w:hAnsi="Verdana Pro" w:cs="Verdana Pro"/>
        </w:rPr>
        <w:t xml:space="preserve"> used during the first 12 months.</w:t>
      </w:r>
    </w:p>
    <w:p w14:paraId="7AA6852A" w14:textId="4A5FF7BF" w:rsidR="0021009C" w:rsidRDefault="0021009C" w:rsidP="0021009C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Verdana Pro" w:eastAsia="Verdana Pro" w:hAnsi="Verdana Pro" w:cs="Verdana Pro"/>
        </w:rPr>
      </w:pPr>
      <w:r w:rsidRPr="32425C34">
        <w:rPr>
          <w:rFonts w:ascii="Verdana Pro" w:eastAsia="Verdana Pro" w:hAnsi="Verdana Pro" w:cs="Verdana Pro"/>
        </w:rPr>
        <w:t xml:space="preserve">During </w:t>
      </w:r>
      <w:r w:rsidR="005B7601">
        <w:rPr>
          <w:rFonts w:ascii="Verdana Pro" w:eastAsia="Verdana Pro" w:hAnsi="Verdana Pro" w:cs="Verdana Pro"/>
        </w:rPr>
        <w:t>the</w:t>
      </w:r>
      <w:r w:rsidRPr="32425C34">
        <w:rPr>
          <w:rFonts w:ascii="Verdana Pro" w:eastAsia="Verdana Pro" w:hAnsi="Verdana Pro" w:cs="Verdana Pro"/>
        </w:rPr>
        <w:t xml:space="preserve"> 24-month review, at the end of the program, if </w:t>
      </w:r>
      <w:r w:rsidR="005B7601">
        <w:rPr>
          <w:rFonts w:ascii="Verdana Pro" w:eastAsia="Verdana Pro" w:hAnsi="Verdana Pro" w:cs="Verdana Pro"/>
        </w:rPr>
        <w:t>the customer</w:t>
      </w:r>
      <w:r w:rsidRPr="32425C34">
        <w:rPr>
          <w:rFonts w:ascii="Verdana Pro" w:eastAsia="Verdana Pro" w:hAnsi="Verdana Pro" w:cs="Verdana Pro"/>
        </w:rPr>
        <w:t xml:space="preserve"> used less energy than we estimated, </w:t>
      </w:r>
      <w:r w:rsidR="005B7601">
        <w:rPr>
          <w:rFonts w:ascii="Verdana Pro" w:eastAsia="Verdana Pro" w:hAnsi="Verdana Pro" w:cs="Verdana Pro"/>
        </w:rPr>
        <w:t>they</w:t>
      </w:r>
      <w:r w:rsidRPr="32425C34">
        <w:rPr>
          <w:rFonts w:ascii="Verdana Pro" w:eastAsia="Verdana Pro" w:hAnsi="Verdana Pro" w:cs="Verdana Pro"/>
        </w:rPr>
        <w:t xml:space="preserve"> will receive a credit on your next bill. If </w:t>
      </w:r>
      <w:r w:rsidR="005B7601">
        <w:rPr>
          <w:rFonts w:ascii="Verdana Pro" w:eastAsia="Verdana Pro" w:hAnsi="Verdana Pro" w:cs="Verdana Pro"/>
        </w:rPr>
        <w:t>they</w:t>
      </w:r>
      <w:r w:rsidRPr="32425C34">
        <w:rPr>
          <w:rFonts w:ascii="Verdana Pro" w:eastAsia="Verdana Pro" w:hAnsi="Verdana Pro" w:cs="Verdana Pro"/>
        </w:rPr>
        <w:t xml:space="preserve"> used more energy than we estimated in the final 12 months of the program, </w:t>
      </w:r>
      <w:r w:rsidR="005B7601">
        <w:rPr>
          <w:rFonts w:ascii="Verdana Pro" w:eastAsia="Verdana Pro" w:hAnsi="Verdana Pro" w:cs="Verdana Pro"/>
        </w:rPr>
        <w:t>they</w:t>
      </w:r>
      <w:r w:rsidRPr="32425C34">
        <w:rPr>
          <w:rFonts w:ascii="Verdana Pro" w:eastAsia="Verdana Pro" w:hAnsi="Verdana Pro" w:cs="Verdana Pro"/>
        </w:rPr>
        <w:t xml:space="preserve"> will be required to pay for that energy to successfully complete the program.</w:t>
      </w:r>
    </w:p>
    <w:p w14:paraId="614F82FC" w14:textId="6421BDED" w:rsidR="0021009C" w:rsidRDefault="0021009C" w:rsidP="0021009C">
      <w:pPr>
        <w:pStyle w:val="ListParagraph"/>
        <w:numPr>
          <w:ilvl w:val="0"/>
          <w:numId w:val="14"/>
        </w:numPr>
        <w:spacing w:line="240" w:lineRule="auto"/>
        <w:rPr>
          <w:rFonts w:ascii="Verdana Pro" w:eastAsia="Verdana Pro" w:hAnsi="Verdana Pro" w:cs="Verdana Pro"/>
        </w:rPr>
      </w:pPr>
      <w:r w:rsidRPr="32425C34">
        <w:rPr>
          <w:rFonts w:ascii="Verdana Pro" w:eastAsia="Verdana Pro" w:hAnsi="Verdana Pro" w:cs="Verdana Pro"/>
        </w:rPr>
        <w:t xml:space="preserve">The monthly LSP gap credits are only applied towards energy charges. Non-energy charges (e.g., Home Protection Plan) are still </w:t>
      </w:r>
      <w:r w:rsidR="005B7601">
        <w:rPr>
          <w:rFonts w:ascii="Verdana Pro" w:eastAsia="Verdana Pro" w:hAnsi="Verdana Pro" w:cs="Verdana Pro"/>
        </w:rPr>
        <w:t xml:space="preserve">the customer’s </w:t>
      </w:r>
      <w:r w:rsidRPr="32425C34">
        <w:rPr>
          <w:rFonts w:ascii="Verdana Pro" w:eastAsia="Verdana Pro" w:hAnsi="Verdana Pro" w:cs="Verdana Pro"/>
        </w:rPr>
        <w:t xml:space="preserve">responsibility in addition to </w:t>
      </w:r>
      <w:r w:rsidR="005B7601">
        <w:rPr>
          <w:rFonts w:ascii="Verdana Pro" w:eastAsia="Verdana Pro" w:hAnsi="Verdana Pro" w:cs="Verdana Pro"/>
        </w:rPr>
        <w:t xml:space="preserve">their </w:t>
      </w:r>
      <w:r w:rsidRPr="32425C34">
        <w:rPr>
          <w:rFonts w:ascii="Verdana Pro" w:eastAsia="Verdana Pro" w:hAnsi="Verdana Pro" w:cs="Verdana Pro"/>
        </w:rPr>
        <w:t>monthly LSP bill.</w:t>
      </w:r>
    </w:p>
    <w:p w14:paraId="1861C092" w14:textId="7D80068F" w:rsidR="0021009C" w:rsidRDefault="0021009C" w:rsidP="0021009C">
      <w:pPr>
        <w:pStyle w:val="ListParagraph"/>
        <w:numPr>
          <w:ilvl w:val="0"/>
          <w:numId w:val="14"/>
        </w:numPr>
        <w:spacing w:line="240" w:lineRule="auto"/>
        <w:rPr>
          <w:rFonts w:ascii="Verdana Pro" w:eastAsia="Verdana Pro" w:hAnsi="Verdana Pro" w:cs="Verdana Pro"/>
        </w:rPr>
      </w:pPr>
      <w:r w:rsidRPr="32425C34">
        <w:rPr>
          <w:rFonts w:ascii="Verdana Pro" w:eastAsia="Verdana Pro" w:hAnsi="Verdana Pro" w:cs="Verdana Pro"/>
        </w:rPr>
        <w:t xml:space="preserve">A dedicated team of DTE Customer Advocates are available to assist LSP customers.  </w:t>
      </w:r>
    </w:p>
    <w:p w14:paraId="21C32545" w14:textId="77777777" w:rsidR="009441A9" w:rsidRPr="0021009C" w:rsidRDefault="009441A9" w:rsidP="009441A9">
      <w:pPr>
        <w:pStyle w:val="ListParagraph"/>
        <w:spacing w:line="240" w:lineRule="auto"/>
        <w:rPr>
          <w:rFonts w:ascii="Verdana Pro" w:eastAsia="Verdana Pro" w:hAnsi="Verdana Pro" w:cs="Verdana Pro"/>
        </w:rPr>
      </w:pPr>
    </w:p>
    <w:p w14:paraId="79255EDA" w14:textId="323F12D0" w:rsidR="0021009C" w:rsidRPr="00896D62" w:rsidRDefault="0021009C" w:rsidP="0021009C">
      <w:pPr>
        <w:spacing w:after="0" w:line="240" w:lineRule="auto"/>
        <w:rPr>
          <w:rFonts w:ascii="Verdana Pro" w:eastAsia="Verdana Pro" w:hAnsi="Verdana Pro" w:cs="Verdana Pro"/>
          <w:b/>
          <w:bCs/>
        </w:rPr>
      </w:pPr>
      <w:r w:rsidRPr="32425C34">
        <w:rPr>
          <w:rFonts w:ascii="Verdana Pro" w:eastAsia="Verdana Pro" w:hAnsi="Verdana Pro" w:cs="Verdana Pro"/>
          <w:b/>
          <w:bCs/>
        </w:rPr>
        <w:lastRenderedPageBreak/>
        <w:t>Enrollment Process</w:t>
      </w:r>
    </w:p>
    <w:p w14:paraId="29B4CBC8" w14:textId="77777777" w:rsidR="0021009C" w:rsidRDefault="0021009C" w:rsidP="0021009C">
      <w:pPr>
        <w:pStyle w:val="ListParagraph"/>
        <w:spacing w:after="0" w:line="240" w:lineRule="auto"/>
        <w:rPr>
          <w:rFonts w:ascii="Verdana Pro" w:eastAsia="Verdana Pro" w:hAnsi="Verdana Pro" w:cs="Verdana Pro"/>
          <w:b/>
          <w:bCs/>
        </w:rPr>
      </w:pPr>
    </w:p>
    <w:p w14:paraId="17FA716E" w14:textId="77777777" w:rsidR="0021009C" w:rsidRPr="009441A9" w:rsidRDefault="0021009C" w:rsidP="005B7601">
      <w:pPr>
        <w:pStyle w:val="ListParagraph"/>
        <w:numPr>
          <w:ilvl w:val="0"/>
          <w:numId w:val="14"/>
        </w:numPr>
        <w:spacing w:after="120" w:line="240" w:lineRule="auto"/>
        <w:rPr>
          <w:rFonts w:ascii="Verdana Pro" w:eastAsia="Verdana Pro" w:hAnsi="Verdana Pro" w:cs="Verdana Pro"/>
        </w:rPr>
      </w:pPr>
      <w:r w:rsidRPr="009441A9">
        <w:rPr>
          <w:rFonts w:ascii="Verdana Pro" w:eastAsia="Verdana Pro" w:hAnsi="Verdana Pro" w:cs="Verdana Pro"/>
        </w:rPr>
        <w:t>Advise customer to apply for an SER before applying for LSP.</w:t>
      </w:r>
    </w:p>
    <w:p w14:paraId="5C1DE487" w14:textId="77777777" w:rsidR="005B7601" w:rsidRDefault="0021009C" w:rsidP="005B7601">
      <w:pPr>
        <w:pStyle w:val="ListParagraph"/>
        <w:numPr>
          <w:ilvl w:val="0"/>
          <w:numId w:val="14"/>
        </w:numPr>
        <w:spacing w:after="120" w:line="240" w:lineRule="auto"/>
        <w:rPr>
          <w:rFonts w:ascii="Verdana Pro" w:eastAsia="Verdana Pro" w:hAnsi="Verdana Pro" w:cs="Verdana Pro"/>
        </w:rPr>
      </w:pPr>
      <w:r w:rsidRPr="32425C34">
        <w:rPr>
          <w:rFonts w:ascii="Verdana Pro" w:eastAsia="Verdana Pro" w:hAnsi="Verdana Pro" w:cs="Verdana Pro"/>
        </w:rPr>
        <w:t xml:space="preserve">Customers must maintain active service to qualify. </w:t>
      </w:r>
    </w:p>
    <w:p w14:paraId="52038362" w14:textId="04CB6ADA" w:rsidR="0021009C" w:rsidRPr="005B7601" w:rsidRDefault="0021009C" w:rsidP="005B7601">
      <w:pPr>
        <w:pStyle w:val="ListParagraph"/>
        <w:numPr>
          <w:ilvl w:val="0"/>
          <w:numId w:val="14"/>
        </w:numPr>
        <w:spacing w:after="120" w:line="240" w:lineRule="auto"/>
        <w:rPr>
          <w:rFonts w:ascii="Verdana Pro" w:eastAsia="Verdana Pro" w:hAnsi="Verdana Pro" w:cs="Verdana Pro"/>
        </w:rPr>
      </w:pPr>
      <w:r w:rsidRPr="005B7601">
        <w:rPr>
          <w:rFonts w:ascii="Verdana Pro" w:eastAsia="Verdana Pro" w:hAnsi="Verdana Pro" w:cs="Verdana Pro"/>
        </w:rPr>
        <w:t xml:space="preserve">The customers who were new </w:t>
      </w:r>
      <w:proofErr w:type="gramStart"/>
      <w:r w:rsidRPr="005B7601">
        <w:rPr>
          <w:rFonts w:ascii="Verdana Pro" w:eastAsia="Verdana Pro" w:hAnsi="Verdana Pro" w:cs="Verdana Pro"/>
        </w:rPr>
        <w:t>enrollees</w:t>
      </w:r>
      <w:proofErr w:type="gramEnd"/>
      <w:r w:rsidRPr="005B7601">
        <w:rPr>
          <w:rFonts w:ascii="Verdana Pro" w:eastAsia="Verdana Pro" w:hAnsi="Verdana Pro" w:cs="Verdana Pro"/>
        </w:rPr>
        <w:t xml:space="preserve"> in the 202</w:t>
      </w:r>
      <w:r w:rsidR="00EA6C79">
        <w:rPr>
          <w:rFonts w:ascii="Verdana Pro" w:eastAsia="Verdana Pro" w:hAnsi="Verdana Pro" w:cs="Verdana Pro"/>
        </w:rPr>
        <w:t>4</w:t>
      </w:r>
      <w:r w:rsidRPr="005B7601">
        <w:rPr>
          <w:rFonts w:ascii="Verdana Pro" w:eastAsia="Verdana Pro" w:hAnsi="Verdana Pro" w:cs="Verdana Pro"/>
        </w:rPr>
        <w:t>-202</w:t>
      </w:r>
      <w:r w:rsidR="00EA6C79">
        <w:rPr>
          <w:rFonts w:ascii="Verdana Pro" w:eastAsia="Verdana Pro" w:hAnsi="Verdana Pro" w:cs="Verdana Pro"/>
        </w:rPr>
        <w:t>5</w:t>
      </w:r>
      <w:r w:rsidRPr="005B7601">
        <w:rPr>
          <w:rFonts w:ascii="Verdana Pro" w:eastAsia="Verdana Pro" w:hAnsi="Verdana Pro" w:cs="Verdana Pro"/>
        </w:rPr>
        <w:t xml:space="preserve"> program will continue to participate in the plan by making monthly plan payments. </w:t>
      </w:r>
    </w:p>
    <w:p w14:paraId="6BD4345F" w14:textId="7592E97B" w:rsidR="0021009C" w:rsidRDefault="0021009C" w:rsidP="0021009C">
      <w:pPr>
        <w:spacing w:after="0" w:line="240" w:lineRule="auto"/>
        <w:rPr>
          <w:rFonts w:ascii="Verdana Pro" w:eastAsia="Verdana Pro" w:hAnsi="Verdana Pro" w:cs="Verdana Pro"/>
          <w:b/>
          <w:bCs/>
        </w:rPr>
      </w:pPr>
      <w:r w:rsidRPr="32425C34">
        <w:rPr>
          <w:rFonts w:ascii="Verdana Pro" w:eastAsia="Verdana Pro" w:hAnsi="Verdana Pro" w:cs="Verdana Pro"/>
          <w:b/>
          <w:bCs/>
        </w:rPr>
        <w:t>Payment Plan Amounts</w:t>
      </w:r>
    </w:p>
    <w:p w14:paraId="46E9FE52" w14:textId="77777777" w:rsidR="0021009C" w:rsidRPr="008C1371" w:rsidRDefault="0021009C" w:rsidP="0021009C">
      <w:pPr>
        <w:spacing w:after="0" w:line="240" w:lineRule="auto"/>
        <w:rPr>
          <w:rFonts w:ascii="Verdana Pro" w:eastAsia="Verdana Pro" w:hAnsi="Verdana Pro" w:cs="Verdana Pro"/>
          <w:b/>
          <w:bCs/>
          <w:u w:val="single"/>
        </w:rPr>
      </w:pPr>
    </w:p>
    <w:p w14:paraId="19CE7984" w14:textId="77777777" w:rsidR="0021009C" w:rsidRDefault="0021009C" w:rsidP="0021009C">
      <w:pPr>
        <w:spacing w:after="0" w:line="240" w:lineRule="auto"/>
        <w:rPr>
          <w:rFonts w:ascii="Verdana Pro" w:eastAsia="Verdana Pro" w:hAnsi="Verdana Pro" w:cs="Verdana Pro"/>
        </w:rPr>
      </w:pPr>
      <w:r w:rsidRPr="32425C34">
        <w:rPr>
          <w:rFonts w:ascii="Verdana Pro" w:eastAsia="Verdana Pro" w:hAnsi="Verdana Pro" w:cs="Verdana Pro"/>
        </w:rPr>
        <w:t xml:space="preserve">Payment plan amounts are based on average monthly usage and reduced by a fixed amount to ensure LSPM is more affordable than paying for your normal usage. </w:t>
      </w:r>
    </w:p>
    <w:p w14:paraId="21187BBF" w14:textId="77777777" w:rsidR="0021009C" w:rsidRPr="00896D62" w:rsidRDefault="0021009C" w:rsidP="0021009C">
      <w:pPr>
        <w:spacing w:after="0" w:line="240" w:lineRule="auto"/>
        <w:rPr>
          <w:rFonts w:ascii="Verdana Pro" w:eastAsia="Verdana Pro" w:hAnsi="Verdana Pro" w:cs="Verdana Pro"/>
        </w:rPr>
      </w:pPr>
    </w:p>
    <w:p w14:paraId="43500A1B" w14:textId="77777777" w:rsidR="0021009C" w:rsidRPr="00896D62" w:rsidRDefault="0021009C" w:rsidP="0021009C">
      <w:pPr>
        <w:pStyle w:val="ListParagraph"/>
        <w:spacing w:after="0" w:line="240" w:lineRule="auto"/>
        <w:rPr>
          <w:rFonts w:ascii="Verdana Pro" w:eastAsia="Verdana Pro" w:hAnsi="Verdana Pro" w:cs="Verdana Pro"/>
        </w:rPr>
      </w:pPr>
    </w:p>
    <w:p w14:paraId="70A07EBA" w14:textId="4685F44B" w:rsidR="0021009C" w:rsidRPr="009A7128" w:rsidRDefault="0021009C" w:rsidP="0021009C">
      <w:pPr>
        <w:spacing w:line="240" w:lineRule="auto"/>
        <w:rPr>
          <w:rFonts w:ascii="Verdana Pro" w:eastAsia="Verdana Pro" w:hAnsi="Verdana Pro" w:cs="Verdana Pro"/>
          <w:b/>
          <w:bCs/>
          <w:u w:val="single"/>
        </w:rPr>
      </w:pPr>
      <w:r w:rsidRPr="32425C34">
        <w:rPr>
          <w:rFonts w:ascii="Verdana Pro" w:eastAsia="Verdana Pro" w:hAnsi="Verdana Pro" w:cs="Verdana Pro"/>
          <w:b/>
          <w:bCs/>
        </w:rPr>
        <w:t>LSP Hotline 1-800-</w:t>
      </w:r>
      <w:r w:rsidR="00EA6C79">
        <w:rPr>
          <w:rFonts w:ascii="Verdana Pro" w:eastAsia="Verdana Pro" w:hAnsi="Verdana Pro" w:cs="Verdana Pro"/>
          <w:b/>
          <w:bCs/>
        </w:rPr>
        <w:t>582-8459</w:t>
      </w:r>
    </w:p>
    <w:p w14:paraId="76A031E1" w14:textId="77777777" w:rsidR="0021009C" w:rsidRPr="009A7128" w:rsidRDefault="0021009C" w:rsidP="32425C34">
      <w:pPr>
        <w:spacing w:line="240" w:lineRule="auto"/>
        <w:rPr>
          <w:rFonts w:ascii="Verdana Pro" w:eastAsia="Verdana Pro" w:hAnsi="Verdana Pro" w:cs="Verdana Pro"/>
          <w:b/>
          <w:bCs/>
          <w:u w:val="single"/>
        </w:rPr>
      </w:pPr>
    </w:p>
    <w:sectPr w:rsidR="0021009C" w:rsidRPr="009A712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D9B2" w14:textId="77777777" w:rsidR="004653AC" w:rsidRDefault="004653AC" w:rsidP="002B2D4E">
      <w:pPr>
        <w:spacing w:after="0" w:line="240" w:lineRule="auto"/>
      </w:pPr>
      <w:r>
        <w:separator/>
      </w:r>
    </w:p>
  </w:endnote>
  <w:endnote w:type="continuationSeparator" w:id="0">
    <w:p w14:paraId="25779F3D" w14:textId="77777777" w:rsidR="004653AC" w:rsidRDefault="004653AC" w:rsidP="002B2D4E">
      <w:pPr>
        <w:spacing w:after="0" w:line="240" w:lineRule="auto"/>
      </w:pPr>
      <w:r>
        <w:continuationSeparator/>
      </w:r>
    </w:p>
  </w:endnote>
  <w:endnote w:type="continuationNotice" w:id="1">
    <w:p w14:paraId="0C8F64EB" w14:textId="77777777" w:rsidR="004653AC" w:rsidRDefault="004653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425C34" w14:paraId="4B6C6856" w14:textId="77777777" w:rsidTr="32425C34">
      <w:trPr>
        <w:trHeight w:val="300"/>
      </w:trPr>
      <w:tc>
        <w:tcPr>
          <w:tcW w:w="3120" w:type="dxa"/>
        </w:tcPr>
        <w:p w14:paraId="1799BEF7" w14:textId="07482CB8" w:rsidR="32425C34" w:rsidRDefault="32425C34" w:rsidP="32425C34">
          <w:pPr>
            <w:pStyle w:val="Header"/>
            <w:ind w:left="-115"/>
          </w:pPr>
        </w:p>
      </w:tc>
      <w:tc>
        <w:tcPr>
          <w:tcW w:w="3120" w:type="dxa"/>
        </w:tcPr>
        <w:p w14:paraId="7189774C" w14:textId="51DEC5E1" w:rsidR="32425C34" w:rsidRDefault="32425C34" w:rsidP="32425C34">
          <w:pPr>
            <w:pStyle w:val="Header"/>
            <w:jc w:val="center"/>
          </w:pPr>
        </w:p>
      </w:tc>
      <w:tc>
        <w:tcPr>
          <w:tcW w:w="3120" w:type="dxa"/>
        </w:tcPr>
        <w:p w14:paraId="5D0D25EB" w14:textId="10A0596A" w:rsidR="32425C34" w:rsidRDefault="32425C34" w:rsidP="32425C34">
          <w:pPr>
            <w:pStyle w:val="Header"/>
            <w:ind w:right="-115"/>
            <w:jc w:val="right"/>
          </w:pPr>
        </w:p>
      </w:tc>
    </w:tr>
  </w:tbl>
  <w:p w14:paraId="343DA05A" w14:textId="01A4247C" w:rsidR="32425C34" w:rsidRDefault="32425C34" w:rsidP="32425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A653" w14:textId="77777777" w:rsidR="004653AC" w:rsidRDefault="004653AC" w:rsidP="002B2D4E">
      <w:pPr>
        <w:spacing w:after="0" w:line="240" w:lineRule="auto"/>
      </w:pPr>
      <w:r>
        <w:separator/>
      </w:r>
    </w:p>
  </w:footnote>
  <w:footnote w:type="continuationSeparator" w:id="0">
    <w:p w14:paraId="71C60040" w14:textId="77777777" w:rsidR="004653AC" w:rsidRDefault="004653AC" w:rsidP="002B2D4E">
      <w:pPr>
        <w:spacing w:after="0" w:line="240" w:lineRule="auto"/>
      </w:pPr>
      <w:r>
        <w:continuationSeparator/>
      </w:r>
    </w:p>
  </w:footnote>
  <w:footnote w:type="continuationNotice" w:id="1">
    <w:p w14:paraId="4B421C35" w14:textId="77777777" w:rsidR="004653AC" w:rsidRDefault="004653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A4D1" w14:textId="77777777" w:rsidR="002B2D4E" w:rsidRDefault="002B2D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0" wp14:anchorId="4CE1DB89" wp14:editId="0FAFF57B">
          <wp:simplePos x="0" y="0"/>
          <wp:positionH relativeFrom="column">
            <wp:posOffset>-990600</wp:posOffset>
          </wp:positionH>
          <wp:positionV relativeFrom="page">
            <wp:posOffset>57150</wp:posOffset>
          </wp:positionV>
          <wp:extent cx="7804150" cy="1831340"/>
          <wp:effectExtent l="0" t="0" r="0" b="0"/>
          <wp:wrapNone/>
          <wp:docPr id="2" name="Picture 2" descr="/Users/e61340/Desktop/OneDrive - DTE Energy/Joy Working Jobs/NEW Brand/Assets/DTE_Stationery/DTE_Letterhead_For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e61340/Desktop/OneDrive - DTE Energy/Joy Working Jobs/NEW Brand/Assets/DTE_Stationery/DTE_Letterhead_For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0" cy="183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D09F8C" w14:textId="77777777" w:rsidR="002B2D4E" w:rsidRDefault="002B2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A76111"/>
    <w:multiLevelType w:val="hybridMultilevel"/>
    <w:tmpl w:val="2BB83B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32F54B"/>
    <w:multiLevelType w:val="hybridMultilevel"/>
    <w:tmpl w:val="1FE584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E65BA"/>
    <w:multiLevelType w:val="hybridMultilevel"/>
    <w:tmpl w:val="ADDE93D4"/>
    <w:lvl w:ilvl="0" w:tplc="CF7C74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5E5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A9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47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145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2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8B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E2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03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B3DD8"/>
    <w:multiLevelType w:val="hybridMultilevel"/>
    <w:tmpl w:val="9F3A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ABE0"/>
    <w:multiLevelType w:val="hybridMultilevel"/>
    <w:tmpl w:val="35C1D6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956640"/>
    <w:multiLevelType w:val="hybridMultilevel"/>
    <w:tmpl w:val="DC50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10AF6"/>
    <w:multiLevelType w:val="hybridMultilevel"/>
    <w:tmpl w:val="63263E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E0CC0"/>
    <w:multiLevelType w:val="hybridMultilevel"/>
    <w:tmpl w:val="ABBC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E5065"/>
    <w:multiLevelType w:val="hybridMultilevel"/>
    <w:tmpl w:val="FD5EF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7D3B3B"/>
    <w:multiLevelType w:val="hybridMultilevel"/>
    <w:tmpl w:val="ECEE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61E30"/>
    <w:multiLevelType w:val="hybridMultilevel"/>
    <w:tmpl w:val="07906FE2"/>
    <w:lvl w:ilvl="0" w:tplc="B38476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D03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CE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C0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C0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4C7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2D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E8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EA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C774C"/>
    <w:multiLevelType w:val="hybridMultilevel"/>
    <w:tmpl w:val="DF9E676E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53A7AC81"/>
    <w:multiLevelType w:val="hybridMultilevel"/>
    <w:tmpl w:val="7ED41FA2"/>
    <w:lvl w:ilvl="0" w:tplc="F390835E">
      <w:start w:val="1"/>
      <w:numFmt w:val="decimal"/>
      <w:lvlText w:val="%1."/>
      <w:lvlJc w:val="left"/>
      <w:pPr>
        <w:ind w:left="720" w:hanging="360"/>
      </w:pPr>
    </w:lvl>
    <w:lvl w:ilvl="1" w:tplc="4CAE1EBA">
      <w:start w:val="1"/>
      <w:numFmt w:val="lowerLetter"/>
      <w:lvlText w:val="%2."/>
      <w:lvlJc w:val="left"/>
      <w:pPr>
        <w:ind w:left="1440" w:hanging="360"/>
      </w:pPr>
    </w:lvl>
    <w:lvl w:ilvl="2" w:tplc="497EF4E8">
      <w:start w:val="1"/>
      <w:numFmt w:val="lowerRoman"/>
      <w:lvlText w:val="%3."/>
      <w:lvlJc w:val="right"/>
      <w:pPr>
        <w:ind w:left="2160" w:hanging="180"/>
      </w:pPr>
    </w:lvl>
    <w:lvl w:ilvl="3" w:tplc="241C9FE4">
      <w:start w:val="1"/>
      <w:numFmt w:val="decimal"/>
      <w:lvlText w:val="%4."/>
      <w:lvlJc w:val="left"/>
      <w:pPr>
        <w:ind w:left="2880" w:hanging="360"/>
      </w:pPr>
    </w:lvl>
    <w:lvl w:ilvl="4" w:tplc="932A4BEC">
      <w:start w:val="1"/>
      <w:numFmt w:val="lowerLetter"/>
      <w:lvlText w:val="%5."/>
      <w:lvlJc w:val="left"/>
      <w:pPr>
        <w:ind w:left="3600" w:hanging="360"/>
      </w:pPr>
    </w:lvl>
    <w:lvl w:ilvl="5" w:tplc="34C8653C">
      <w:start w:val="1"/>
      <w:numFmt w:val="lowerRoman"/>
      <w:lvlText w:val="%6."/>
      <w:lvlJc w:val="right"/>
      <w:pPr>
        <w:ind w:left="4320" w:hanging="180"/>
      </w:pPr>
    </w:lvl>
    <w:lvl w:ilvl="6" w:tplc="4ADE8210">
      <w:start w:val="1"/>
      <w:numFmt w:val="decimal"/>
      <w:lvlText w:val="%7."/>
      <w:lvlJc w:val="left"/>
      <w:pPr>
        <w:ind w:left="5040" w:hanging="360"/>
      </w:pPr>
    </w:lvl>
    <w:lvl w:ilvl="7" w:tplc="328EC84E">
      <w:start w:val="1"/>
      <w:numFmt w:val="lowerLetter"/>
      <w:lvlText w:val="%8."/>
      <w:lvlJc w:val="left"/>
      <w:pPr>
        <w:ind w:left="5760" w:hanging="360"/>
      </w:pPr>
    </w:lvl>
    <w:lvl w:ilvl="8" w:tplc="D39A3FC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6AFD"/>
    <w:multiLevelType w:val="hybridMultilevel"/>
    <w:tmpl w:val="DBBC59DE"/>
    <w:lvl w:ilvl="0" w:tplc="1EA86B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0CF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0C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A8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64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E5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20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6E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A7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72D9A"/>
    <w:multiLevelType w:val="hybridMultilevel"/>
    <w:tmpl w:val="5DAC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229B1"/>
    <w:multiLevelType w:val="hybridMultilevel"/>
    <w:tmpl w:val="44DE6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37801">
    <w:abstractNumId w:val="12"/>
  </w:num>
  <w:num w:numId="2" w16cid:durableId="391464514">
    <w:abstractNumId w:val="10"/>
  </w:num>
  <w:num w:numId="3" w16cid:durableId="424116213">
    <w:abstractNumId w:val="2"/>
  </w:num>
  <w:num w:numId="4" w16cid:durableId="1796023935">
    <w:abstractNumId w:val="13"/>
  </w:num>
  <w:num w:numId="5" w16cid:durableId="1660230315">
    <w:abstractNumId w:val="14"/>
  </w:num>
  <w:num w:numId="6" w16cid:durableId="1894922253">
    <w:abstractNumId w:val="7"/>
  </w:num>
  <w:num w:numId="7" w16cid:durableId="1646231348">
    <w:abstractNumId w:val="5"/>
  </w:num>
  <w:num w:numId="8" w16cid:durableId="1991322444">
    <w:abstractNumId w:val="9"/>
  </w:num>
  <w:num w:numId="9" w16cid:durableId="1560507297">
    <w:abstractNumId w:val="1"/>
  </w:num>
  <w:num w:numId="10" w16cid:durableId="1372918706">
    <w:abstractNumId w:val="8"/>
  </w:num>
  <w:num w:numId="11" w16cid:durableId="1688679425">
    <w:abstractNumId w:val="0"/>
  </w:num>
  <w:num w:numId="12" w16cid:durableId="1529835510">
    <w:abstractNumId w:val="4"/>
  </w:num>
  <w:num w:numId="13" w16cid:durableId="1823306098">
    <w:abstractNumId w:val="15"/>
  </w:num>
  <w:num w:numId="14" w16cid:durableId="209268616">
    <w:abstractNumId w:val="6"/>
  </w:num>
  <w:num w:numId="15" w16cid:durableId="1098981690">
    <w:abstractNumId w:val="11"/>
  </w:num>
  <w:num w:numId="16" w16cid:durableId="62683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06"/>
    <w:rsid w:val="000B710B"/>
    <w:rsid w:val="000C0AB9"/>
    <w:rsid w:val="000C712C"/>
    <w:rsid w:val="00206491"/>
    <w:rsid w:val="0021009C"/>
    <w:rsid w:val="002109B1"/>
    <w:rsid w:val="00223943"/>
    <w:rsid w:val="002942B4"/>
    <w:rsid w:val="002B2D4E"/>
    <w:rsid w:val="00344971"/>
    <w:rsid w:val="003C7763"/>
    <w:rsid w:val="003E11DC"/>
    <w:rsid w:val="00435E10"/>
    <w:rsid w:val="004653AC"/>
    <w:rsid w:val="005A4695"/>
    <w:rsid w:val="005B7601"/>
    <w:rsid w:val="005E6AA4"/>
    <w:rsid w:val="00632BCA"/>
    <w:rsid w:val="00646A8C"/>
    <w:rsid w:val="00647043"/>
    <w:rsid w:val="007116B1"/>
    <w:rsid w:val="00730406"/>
    <w:rsid w:val="0074558B"/>
    <w:rsid w:val="00755380"/>
    <w:rsid w:val="0078291D"/>
    <w:rsid w:val="00811E7E"/>
    <w:rsid w:val="00896D62"/>
    <w:rsid w:val="008C1371"/>
    <w:rsid w:val="008C26A1"/>
    <w:rsid w:val="009441A9"/>
    <w:rsid w:val="009A7128"/>
    <w:rsid w:val="00A64413"/>
    <w:rsid w:val="00B53265"/>
    <w:rsid w:val="00B73F98"/>
    <w:rsid w:val="00B8380C"/>
    <w:rsid w:val="00C22521"/>
    <w:rsid w:val="00CA21B2"/>
    <w:rsid w:val="00CF3F38"/>
    <w:rsid w:val="00D55B1F"/>
    <w:rsid w:val="00E06BAA"/>
    <w:rsid w:val="00E259F7"/>
    <w:rsid w:val="00EA6C79"/>
    <w:rsid w:val="00EC7CE7"/>
    <w:rsid w:val="00EE06AC"/>
    <w:rsid w:val="00F24773"/>
    <w:rsid w:val="010D2911"/>
    <w:rsid w:val="0E84D2CE"/>
    <w:rsid w:val="16585554"/>
    <w:rsid w:val="178480C5"/>
    <w:rsid w:val="1A1A579B"/>
    <w:rsid w:val="1B100E38"/>
    <w:rsid w:val="20438C66"/>
    <w:rsid w:val="234033E6"/>
    <w:rsid w:val="27CDE111"/>
    <w:rsid w:val="2E8755D2"/>
    <w:rsid w:val="2EBF014E"/>
    <w:rsid w:val="32425C34"/>
    <w:rsid w:val="33D5F714"/>
    <w:rsid w:val="374DB1DB"/>
    <w:rsid w:val="3B328B23"/>
    <w:rsid w:val="4343F802"/>
    <w:rsid w:val="43E62621"/>
    <w:rsid w:val="4764D6A3"/>
    <w:rsid w:val="4E552584"/>
    <w:rsid w:val="4F48CCB3"/>
    <w:rsid w:val="520AD8EA"/>
    <w:rsid w:val="53FA160B"/>
    <w:rsid w:val="55C28864"/>
    <w:rsid w:val="57CE3127"/>
    <w:rsid w:val="5E29E5D6"/>
    <w:rsid w:val="615A01A5"/>
    <w:rsid w:val="6D7B169B"/>
    <w:rsid w:val="74750CBB"/>
    <w:rsid w:val="790DF37F"/>
    <w:rsid w:val="79F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8641"/>
  <w15:chartTrackingRefBased/>
  <w15:docId w15:val="{E353E2EB-F58A-4A01-9845-477051AD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6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D4E"/>
  </w:style>
  <w:style w:type="paragraph" w:styleId="Footer">
    <w:name w:val="footer"/>
    <w:basedOn w:val="Normal"/>
    <w:link w:val="FooterChar"/>
    <w:uiPriority w:val="99"/>
    <w:unhideWhenUsed/>
    <w:rsid w:val="002B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D4E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942B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80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412C-0012-4AFE-8542-1763852F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 Williams</dc:creator>
  <cp:keywords/>
  <dc:description/>
  <cp:lastModifiedBy>Tonya Swenor</cp:lastModifiedBy>
  <cp:revision>2</cp:revision>
  <dcterms:created xsi:type="dcterms:W3CDTF">2025-09-30T12:57:00Z</dcterms:created>
  <dcterms:modified xsi:type="dcterms:W3CDTF">2025-09-30T12:57:00Z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d47762-d1c3-476b-91fd-63cae19eaafb_Enabled">
    <vt:lpwstr>true</vt:lpwstr>
  </property>
  <property fmtid="{D5CDD505-2E9C-101B-9397-08002B2CF9AE}" pid="3" name="MSIP_Label_d5d47762-d1c3-476b-91fd-63cae19eaafb_SetDate">
    <vt:lpwstr>2023-09-29T16:13:23Z</vt:lpwstr>
  </property>
  <property fmtid="{D5CDD505-2E9C-101B-9397-08002B2CF9AE}" pid="4" name="MSIP_Label_d5d47762-d1c3-476b-91fd-63cae19eaafb_Method">
    <vt:lpwstr>Standard</vt:lpwstr>
  </property>
  <property fmtid="{D5CDD505-2E9C-101B-9397-08002B2CF9AE}" pid="5" name="MSIP_Label_d5d47762-d1c3-476b-91fd-63cae19eaafb_Name">
    <vt:lpwstr>d5d47762-d1c3-476b-91fd-63cae19eaafb</vt:lpwstr>
  </property>
  <property fmtid="{D5CDD505-2E9C-101B-9397-08002B2CF9AE}" pid="6" name="MSIP_Label_d5d47762-d1c3-476b-91fd-63cae19eaafb_SiteId">
    <vt:lpwstr>8e61d5fe-7749-4e76-88ee-6d8799ae8143</vt:lpwstr>
  </property>
  <property fmtid="{D5CDD505-2E9C-101B-9397-08002B2CF9AE}" pid="7" name="MSIP_Label_d5d47762-d1c3-476b-91fd-63cae19eaafb_ActionId">
    <vt:lpwstr>236012fe-d2b7-451b-a61f-042d460eb8f7</vt:lpwstr>
  </property>
  <property fmtid="{D5CDD505-2E9C-101B-9397-08002B2CF9AE}" pid="8" name="MSIP_Label_d5d47762-d1c3-476b-91fd-63cae19eaafb_ContentBits">
    <vt:lpwstr>0</vt:lpwstr>
  </property>
</Properties>
</file>